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65C7" w14:textId="77777777" w:rsidR="00A87EED" w:rsidRDefault="00A87EED">
      <w:pPr>
        <w:tabs>
          <w:tab w:val="left" w:pos="1134"/>
        </w:tabs>
        <w:spacing w:after="0" w:line="240" w:lineRule="auto"/>
        <w:rPr>
          <w:rFonts w:ascii="Arial" w:eastAsia="Arial" w:hAnsi="Arial" w:cs="Arial"/>
          <w:b/>
        </w:rPr>
      </w:pPr>
    </w:p>
    <w:p w14:paraId="7D7DBA6F" w14:textId="77777777" w:rsidR="00A87EED" w:rsidRDefault="00A87EE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B661DAC" w14:textId="77777777" w:rsidR="00A87EED" w:rsidRDefault="00A87EE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78D384E" w14:textId="77777777" w:rsidR="00A87EED" w:rsidRPr="007B2035" w:rsidRDefault="00A20FC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B2035">
        <w:rPr>
          <w:rFonts w:ascii="Arial" w:eastAsia="Arial" w:hAnsi="Arial" w:cs="Arial"/>
          <w:b/>
        </w:rPr>
        <w:t xml:space="preserve">DECLARATION OF </w:t>
      </w:r>
      <w:r w:rsidR="00A0118E" w:rsidRPr="007B2035">
        <w:rPr>
          <w:rFonts w:ascii="Arial" w:eastAsia="Arial" w:hAnsi="Arial" w:cs="Arial"/>
          <w:b/>
        </w:rPr>
        <w:t>EU DIRECTIVES 2011/65/EU AND (EU) 2015/863</w:t>
      </w:r>
      <w:r w:rsidRPr="007B2035">
        <w:rPr>
          <w:rFonts w:ascii="Arial" w:eastAsia="Arial" w:hAnsi="Arial" w:cs="Arial"/>
          <w:b/>
        </w:rPr>
        <w:t xml:space="preserve"> COMPLIANCE</w:t>
      </w:r>
    </w:p>
    <w:p w14:paraId="7FB60CF5" w14:textId="77777777" w:rsidR="00A87EED" w:rsidRPr="007B2035" w:rsidRDefault="00A87E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61C0054" w14:textId="77777777" w:rsidR="00A0118E" w:rsidRDefault="00A0118E">
      <w:pPr>
        <w:widowControl w:val="0"/>
        <w:spacing w:after="0" w:line="240" w:lineRule="auto"/>
        <w:ind w:right="-90"/>
        <w:rPr>
          <w:rFonts w:ascii="Arial" w:eastAsia="Arial" w:hAnsi="Arial" w:cs="Arial"/>
          <w:sz w:val="20"/>
          <w:szCs w:val="20"/>
        </w:rPr>
      </w:pPr>
    </w:p>
    <w:p w14:paraId="7B454A96" w14:textId="77777777" w:rsidR="00A87EED" w:rsidRDefault="00A20FC6" w:rsidP="00122B3A">
      <w:pPr>
        <w:widowControl w:val="0"/>
        <w:spacing w:after="0" w:line="240" w:lineRule="auto"/>
        <w:ind w:right="-90"/>
        <w:rPr>
          <w:rFonts w:ascii="Arial" w:eastAsia="Arial" w:hAnsi="Arial" w:cs="Arial"/>
          <w:sz w:val="19"/>
          <w:szCs w:val="19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The part(s)/product(s) in this declaration do not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contain any of the below substances above the maximum concentration values identified in Annex II of the RoHS Directive (2011/65/EU) and its </w:t>
      </w:r>
      <w:r w:rsidR="00A0118E">
        <w:rPr>
          <w:rFonts w:ascii="Arial" w:eastAsia="Arial" w:hAnsi="Arial" w:cs="Arial"/>
          <w:color w:val="222222"/>
          <w:sz w:val="20"/>
          <w:szCs w:val="20"/>
          <w:highlight w:val="white"/>
        </w:rPr>
        <w:t>amendment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(EU) 2015/863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unless using an exemption as those listed in Annex III and IV, which can be viewed here: </w:t>
      </w:r>
      <w:hyperlink r:id="rId6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www.assentcompliance.com</w:t>
        </w:r>
      </w:hyperlink>
      <w:r>
        <w:rPr>
          <w:rFonts w:ascii="Arial" w:eastAsia="Arial" w:hAnsi="Arial" w:cs="Arial"/>
          <w:sz w:val="20"/>
          <w:szCs w:val="20"/>
          <w:highlight w:val="white"/>
          <w:u w:val="single"/>
        </w:rPr>
        <w:t>.</w:t>
      </w:r>
    </w:p>
    <w:p w14:paraId="2C4B65EA" w14:textId="77777777" w:rsidR="00A87EED" w:rsidRDefault="00A87EED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63917A94" w14:textId="77777777" w:rsidR="00A87EED" w:rsidRDefault="00A20FC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Quantity limit: </w:t>
      </w:r>
      <w:r>
        <w:rPr>
          <w:rFonts w:ascii="Arial" w:eastAsia="Arial" w:hAnsi="Arial" w:cs="Arial"/>
          <w:sz w:val="20"/>
          <w:szCs w:val="20"/>
        </w:rPr>
        <w:t>0.1 % of weight (1000ppm) of any homogeneous material:</w:t>
      </w:r>
      <w:r>
        <w:rPr>
          <w:rFonts w:ascii="Arial" w:eastAsia="Arial" w:hAnsi="Arial" w:cs="Arial"/>
          <w:sz w:val="20"/>
          <w:szCs w:val="20"/>
        </w:rPr>
        <w:br/>
        <w:t xml:space="preserve">   1. Lead (Pb)</w:t>
      </w:r>
      <w:r>
        <w:rPr>
          <w:rFonts w:ascii="Arial" w:eastAsia="Arial" w:hAnsi="Arial" w:cs="Arial"/>
          <w:sz w:val="20"/>
          <w:szCs w:val="20"/>
        </w:rPr>
        <w:br/>
        <w:t xml:space="preserve">   2. Mercury (Hg)</w:t>
      </w:r>
      <w:r>
        <w:rPr>
          <w:rFonts w:ascii="Arial" w:eastAsia="Arial" w:hAnsi="Arial" w:cs="Arial"/>
          <w:sz w:val="20"/>
          <w:szCs w:val="20"/>
        </w:rPr>
        <w:br/>
        <w:t xml:space="preserve">   3. Hexavalent Chromium (Cr VI)</w:t>
      </w:r>
      <w:r>
        <w:rPr>
          <w:rFonts w:ascii="Arial" w:eastAsia="Arial" w:hAnsi="Arial" w:cs="Arial"/>
          <w:sz w:val="20"/>
          <w:szCs w:val="20"/>
        </w:rPr>
        <w:br/>
        <w:t xml:space="preserve">   4. Polybrominated Biphenyls (PBB) </w:t>
      </w:r>
    </w:p>
    <w:p w14:paraId="5F185EEC" w14:textId="77777777" w:rsidR="00A87EED" w:rsidRDefault="00A20FC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5. Polybrominated Diphenyl Ethers (PBDE)</w:t>
      </w:r>
    </w:p>
    <w:p w14:paraId="44FE77CC" w14:textId="77777777" w:rsidR="00A87EED" w:rsidRDefault="00A20FC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6. Bis(2-Ethylhexyl) phthalate (DEHP): max 0.1%</w:t>
      </w:r>
    </w:p>
    <w:p w14:paraId="7146B4CF" w14:textId="77777777" w:rsidR="00A87EED" w:rsidRDefault="00A20FC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7. Benzyl butyl phthalate (BBP): max 0.1%</w:t>
      </w:r>
    </w:p>
    <w:p w14:paraId="40935206" w14:textId="77777777" w:rsidR="00A87EED" w:rsidRDefault="00A20FC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8. Dibutyl phthalate (DBP): max 0.1%</w:t>
      </w:r>
    </w:p>
    <w:p w14:paraId="6EBE8E83" w14:textId="77777777" w:rsidR="00A87EED" w:rsidRDefault="00A20FC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9. </w:t>
      </w:r>
      <w:proofErr w:type="spellStart"/>
      <w:r>
        <w:rPr>
          <w:rFonts w:ascii="Arial" w:eastAsia="Arial" w:hAnsi="Arial" w:cs="Arial"/>
          <w:sz w:val="20"/>
          <w:szCs w:val="20"/>
        </w:rPr>
        <w:t>Diisobutyl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phthalate (DIBP): max 0.1%</w:t>
      </w:r>
    </w:p>
    <w:p w14:paraId="1F6E2BBB" w14:textId="77777777" w:rsidR="00A87EED" w:rsidRDefault="00A20FC6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Quantity limit: </w:t>
      </w:r>
      <w:r>
        <w:rPr>
          <w:rFonts w:ascii="Arial" w:eastAsia="Arial" w:hAnsi="Arial" w:cs="Arial"/>
          <w:sz w:val="20"/>
          <w:szCs w:val="20"/>
        </w:rPr>
        <w:t>0.01 % of weight (100 ppm) of any homogeneous material:</w:t>
      </w:r>
      <w:r>
        <w:rPr>
          <w:rFonts w:ascii="Arial" w:eastAsia="Arial" w:hAnsi="Arial" w:cs="Arial"/>
          <w:sz w:val="20"/>
          <w:szCs w:val="20"/>
        </w:rPr>
        <w:br/>
        <w:t xml:space="preserve">   1. Cadmium (Cd)</w:t>
      </w:r>
    </w:p>
    <w:p w14:paraId="60906D63" w14:textId="77777777" w:rsidR="00A87EED" w:rsidRDefault="00A87E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C1619B" w14:textId="77777777" w:rsidR="00A87EED" w:rsidRDefault="00A20FC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 amount of a substance exceeds the allowable limit</w:t>
      </w:r>
      <w:r w:rsidR="00A0118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and a RoHS exemption </w:t>
      </w:r>
      <w:r>
        <w:rPr>
          <w:rFonts w:ascii="Arial" w:eastAsia="Arial" w:hAnsi="Arial" w:cs="Arial"/>
          <w:b/>
          <w:sz w:val="20"/>
          <w:szCs w:val="20"/>
          <w:u w:val="single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 applicable, the appropriate exemption must be listed in the RoHS Compliant Parts List below.</w:t>
      </w:r>
    </w:p>
    <w:p w14:paraId="58CA4DB3" w14:textId="77777777" w:rsidR="00A87EED" w:rsidRDefault="00A87EE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6413B66C" w14:textId="77777777" w:rsidR="00A87EED" w:rsidRDefault="00A20FC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Compliant RoHS Parts List</w:t>
      </w:r>
      <w:r>
        <w:rPr>
          <w:rFonts w:ascii="Arial" w:eastAsia="Arial" w:hAnsi="Arial" w:cs="Arial"/>
          <w:b/>
        </w:rPr>
        <w:t xml:space="preserve">    </w:t>
      </w:r>
    </w:p>
    <w:p w14:paraId="634A4ABD" w14:textId="77777777" w:rsidR="00A87EED" w:rsidRDefault="00A87EE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"/>
        <w:tblW w:w="9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420"/>
        <w:gridCol w:w="1575"/>
        <w:gridCol w:w="1620"/>
        <w:gridCol w:w="1785"/>
      </w:tblGrid>
      <w:tr w:rsidR="00A87EED" w14:paraId="1AE8BA9F" w14:textId="77777777">
        <w:trPr>
          <w:trHeight w:val="660"/>
          <w:jc w:val="center"/>
        </w:trPr>
        <w:tc>
          <w:tcPr>
            <w:tcW w:w="141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1804" w14:textId="77777777" w:rsidR="00A87EED" w:rsidRDefault="00A20FC6">
            <w:pPr>
              <w:spacing w:after="0" w:line="240" w:lineRule="auto"/>
              <w:ind w:left="-105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Number(s)</w:t>
            </w:r>
          </w:p>
        </w:tc>
        <w:tc>
          <w:tcPr>
            <w:tcW w:w="342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025C0" w14:textId="77777777" w:rsidR="00A87EED" w:rsidRDefault="00A0118E">
            <w:pPr>
              <w:spacing w:after="0" w:line="240" w:lineRule="auto"/>
              <w:ind w:left="-90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Name</w:t>
            </w:r>
          </w:p>
        </w:tc>
        <w:tc>
          <w:tcPr>
            <w:tcW w:w="1575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4F77C" w14:textId="77777777" w:rsidR="00A87EED" w:rsidRDefault="00A20FC6">
            <w:pPr>
              <w:spacing w:after="0" w:line="240" w:lineRule="auto"/>
              <w:ind w:left="-75" w:right="-90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 xml:space="preserve">Substance Present </w:t>
            </w:r>
          </w:p>
          <w:p w14:paraId="0C874DDB" w14:textId="77777777" w:rsidR="00A87EED" w:rsidRDefault="00A20FC6">
            <w:pPr>
              <w:spacing w:after="0" w:line="240" w:lineRule="auto"/>
              <w:ind w:left="-75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162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27D23" w14:textId="77777777" w:rsidR="00A87EED" w:rsidRDefault="00A20FC6">
            <w:pPr>
              <w:spacing w:after="0" w:line="240" w:lineRule="auto"/>
              <w:ind w:left="-60" w:right="-90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Exemption Number</w:t>
            </w:r>
          </w:p>
          <w:p w14:paraId="6947727E" w14:textId="77777777" w:rsidR="00A87EED" w:rsidRDefault="00A20FC6">
            <w:pPr>
              <w:spacing w:after="0" w:line="240" w:lineRule="auto"/>
              <w:ind w:left="-60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 xml:space="preserve"> (If Applicable)</w:t>
            </w:r>
          </w:p>
        </w:tc>
        <w:tc>
          <w:tcPr>
            <w:tcW w:w="1785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03040" w14:textId="77777777" w:rsidR="00A87EED" w:rsidRDefault="00A20FC6">
            <w:pPr>
              <w:spacing w:after="0" w:line="240" w:lineRule="auto"/>
              <w:ind w:left="-45" w:right="-105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Concentration (% w/w)</w:t>
            </w:r>
          </w:p>
          <w:p w14:paraId="2347F758" w14:textId="77777777" w:rsidR="00A87EED" w:rsidRDefault="00A20FC6">
            <w:pPr>
              <w:spacing w:after="0" w:line="240" w:lineRule="auto"/>
              <w:ind w:left="-45" w:right="-105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(If Applicable)</w:t>
            </w:r>
          </w:p>
        </w:tc>
      </w:tr>
      <w:tr w:rsidR="00A87EED" w14:paraId="4047ABA8" w14:textId="77777777">
        <w:trPr>
          <w:trHeight w:val="16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1C75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A54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302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BA62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0B43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3A25AB91" w14:textId="77777777">
        <w:trPr>
          <w:trHeight w:val="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2D38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780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ED8C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E142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932B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7E5A47B5" w14:textId="77777777">
        <w:trPr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B670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BB95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1540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1515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C8DB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0F02A3DA" w14:textId="77777777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D5E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CF2B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6CB3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0531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ED70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724727D2" w14:textId="77777777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A49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BF6C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5D3E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C02F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8872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1CC61331" w14:textId="77777777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9C2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3731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476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9315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589B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DB1351" w14:textId="77777777" w:rsidR="00A87EED" w:rsidRDefault="00A87E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81066E" w14:textId="21E01693" w:rsidR="00A87EED" w:rsidRDefault="00A87E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CEC88A" w14:textId="13F02662" w:rsidR="009417EF" w:rsidRDefault="009417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FD45AE" w14:textId="55671A5F" w:rsidR="009417EF" w:rsidRDefault="009417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6B9995" w14:textId="0DEFD8A0" w:rsidR="009417EF" w:rsidRDefault="009417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BD4785" w14:textId="77777777" w:rsidR="009417EF" w:rsidRDefault="009417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20E09B7B" w14:textId="77777777" w:rsidR="00A87EED" w:rsidRDefault="00A87E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CA9B56" w14:textId="77777777" w:rsidR="00A87EED" w:rsidRDefault="00A20FC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the amount of substance exceeds the allowable limit and a RoHS Exemption </w:t>
      </w:r>
      <w:r>
        <w:rPr>
          <w:rFonts w:ascii="Arial" w:eastAsia="Arial" w:hAnsi="Arial" w:cs="Arial"/>
          <w:b/>
          <w:sz w:val="20"/>
          <w:szCs w:val="20"/>
          <w:u w:val="single"/>
        </w:rPr>
        <w:t>is not</w:t>
      </w:r>
      <w:r>
        <w:rPr>
          <w:rFonts w:ascii="Arial" w:eastAsia="Arial" w:hAnsi="Arial" w:cs="Arial"/>
          <w:sz w:val="20"/>
          <w:szCs w:val="20"/>
        </w:rPr>
        <w:t xml:space="preserve"> applicable, the part must be listed in the Non-Compliant RoHS Parts List below.</w:t>
      </w:r>
    </w:p>
    <w:p w14:paraId="7CB6003D" w14:textId="77777777" w:rsidR="00A87EED" w:rsidRDefault="00A87EE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D3427BB" w14:textId="77777777" w:rsidR="00A87EED" w:rsidRDefault="00A20FC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u w:val="single"/>
        </w:rPr>
        <w:t>Non-Compliant RoHS Parts List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N/A </w:t>
      </w:r>
      <w:r>
        <w:rPr>
          <w:rFonts w:ascii="Arial" w:eastAsia="Arial" w:hAnsi="Arial" w:cs="Arial"/>
          <w:sz w:val="20"/>
          <w:szCs w:val="20"/>
        </w:rPr>
        <w:tab/>
      </w:r>
    </w:p>
    <w:p w14:paraId="04E52FA4" w14:textId="77777777" w:rsidR="00A87EED" w:rsidRDefault="00A87EE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0"/>
        <w:tblW w:w="9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420"/>
        <w:gridCol w:w="1575"/>
        <w:gridCol w:w="1620"/>
        <w:gridCol w:w="1785"/>
      </w:tblGrid>
      <w:tr w:rsidR="00A87EED" w14:paraId="3428E6ED" w14:textId="77777777">
        <w:trPr>
          <w:trHeight w:val="660"/>
          <w:jc w:val="center"/>
        </w:trPr>
        <w:tc>
          <w:tcPr>
            <w:tcW w:w="141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1600C" w14:textId="77777777" w:rsidR="00A87EED" w:rsidRDefault="00A20FC6">
            <w:pPr>
              <w:spacing w:after="0" w:line="240" w:lineRule="auto"/>
              <w:ind w:left="-105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Number(s)</w:t>
            </w:r>
          </w:p>
        </w:tc>
        <w:tc>
          <w:tcPr>
            <w:tcW w:w="342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E926A" w14:textId="77777777" w:rsidR="00A87EED" w:rsidRDefault="00A0118E">
            <w:pPr>
              <w:spacing w:after="0" w:line="240" w:lineRule="auto"/>
              <w:ind w:left="-90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Name</w:t>
            </w:r>
          </w:p>
        </w:tc>
        <w:tc>
          <w:tcPr>
            <w:tcW w:w="1575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3AF1E" w14:textId="77777777" w:rsidR="00A87EED" w:rsidRDefault="00A20FC6">
            <w:pPr>
              <w:spacing w:after="0" w:line="240" w:lineRule="auto"/>
              <w:ind w:left="-75" w:right="-90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 xml:space="preserve">Substance Present </w:t>
            </w:r>
          </w:p>
          <w:p w14:paraId="52D1FE18" w14:textId="77777777" w:rsidR="00A87EED" w:rsidRDefault="00A20FC6">
            <w:pPr>
              <w:spacing w:after="0" w:line="240" w:lineRule="auto"/>
              <w:ind w:left="-75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162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DC3A5" w14:textId="77777777" w:rsidR="00A87EED" w:rsidRDefault="00A20FC6">
            <w:pPr>
              <w:spacing w:after="0" w:line="240" w:lineRule="auto"/>
              <w:ind w:left="-60" w:right="-90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Exemption Number</w:t>
            </w:r>
          </w:p>
          <w:p w14:paraId="7417847A" w14:textId="77777777" w:rsidR="00A87EED" w:rsidRDefault="00A20FC6">
            <w:pPr>
              <w:spacing w:after="0" w:line="240" w:lineRule="auto"/>
              <w:ind w:left="-60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 xml:space="preserve"> (If Applicable)</w:t>
            </w:r>
          </w:p>
        </w:tc>
        <w:tc>
          <w:tcPr>
            <w:tcW w:w="1785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23FF8" w14:textId="77777777" w:rsidR="00A87EED" w:rsidRDefault="00A20FC6">
            <w:pPr>
              <w:spacing w:after="0" w:line="240" w:lineRule="auto"/>
              <w:ind w:left="-45" w:right="-105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Concentration (% w/w)</w:t>
            </w:r>
          </w:p>
          <w:p w14:paraId="199CEC7B" w14:textId="77777777" w:rsidR="00A87EED" w:rsidRDefault="00A20FC6">
            <w:pPr>
              <w:spacing w:after="0" w:line="240" w:lineRule="auto"/>
              <w:ind w:left="-45" w:right="-105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(If Applicable)</w:t>
            </w:r>
          </w:p>
        </w:tc>
      </w:tr>
      <w:tr w:rsidR="00A87EED" w14:paraId="501ADC52" w14:textId="77777777">
        <w:trPr>
          <w:trHeight w:val="18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ED70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A545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4220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9B57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510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245B1763" w14:textId="77777777">
        <w:trPr>
          <w:trHeight w:val="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15C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1A8F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9A52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025F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D46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7590AD19" w14:textId="77777777">
        <w:trPr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EBA2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8850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0C19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0D4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170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41E4F75D" w14:textId="77777777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7E3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B5A9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D848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0B5E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B406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06E757DA" w14:textId="77777777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80F2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67A7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642A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415B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E5FA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EED" w14:paraId="36AC3B82" w14:textId="77777777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0A3A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5093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FAD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98A4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AEB5" w14:textId="77777777" w:rsidR="00A87EED" w:rsidRDefault="00A87EE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73B77B" w14:textId="24DD9F79" w:rsidR="00A87EED" w:rsidRDefault="00A87EED">
      <w:pPr>
        <w:spacing w:line="240" w:lineRule="auto"/>
        <w:rPr>
          <w:rFonts w:ascii="Arial" w:eastAsia="Arial" w:hAnsi="Arial" w:cs="Arial"/>
          <w:b/>
        </w:rPr>
      </w:pPr>
    </w:p>
    <w:p w14:paraId="653BA9F7" w14:textId="1A306084" w:rsidR="00122B3A" w:rsidRDefault="00122B3A">
      <w:pPr>
        <w:spacing w:line="240" w:lineRule="auto"/>
        <w:rPr>
          <w:rFonts w:ascii="Arial" w:eastAsia="Arial" w:hAnsi="Arial" w:cs="Arial"/>
          <w:b/>
        </w:rPr>
      </w:pPr>
    </w:p>
    <w:p w14:paraId="4F16B415" w14:textId="6356C4DF" w:rsidR="0004322A" w:rsidRDefault="0004322A">
      <w:pPr>
        <w:spacing w:line="240" w:lineRule="auto"/>
        <w:rPr>
          <w:rFonts w:ascii="Arial" w:eastAsia="Arial" w:hAnsi="Arial" w:cs="Arial"/>
          <w:b/>
        </w:rPr>
      </w:pPr>
    </w:p>
    <w:p w14:paraId="78CD3543" w14:textId="3AF44F7E" w:rsidR="0004322A" w:rsidRDefault="006F02BA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Sign here</w:t>
      </w:r>
    </w:p>
    <w:p w14:paraId="31F97FFE" w14:textId="77777777" w:rsidR="00122B3A" w:rsidRPr="005D0D13" w:rsidRDefault="00122B3A" w:rsidP="00122B3A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>
        <w:rPr>
          <w:rFonts w:ascii="Arial" w:hAnsi="Arial" w:cs="Arial"/>
          <w:color w:val="222222"/>
          <w:u w:val="single"/>
          <w:shd w:val="clear" w:color="auto" w:fill="FFFFFF"/>
        </w:rPr>
        <w:tab/>
      </w:r>
      <w:r>
        <w:rPr>
          <w:rFonts w:ascii="Arial" w:hAnsi="Arial" w:cs="Arial"/>
          <w:color w:val="222222"/>
          <w:u w:val="single"/>
          <w:shd w:val="clear" w:color="auto" w:fill="FFFFFF"/>
        </w:rPr>
        <w:tab/>
      </w:r>
      <w:r>
        <w:rPr>
          <w:rFonts w:ascii="Arial" w:hAnsi="Arial" w:cs="Arial"/>
          <w:color w:val="222222"/>
          <w:u w:val="single"/>
          <w:shd w:val="clear" w:color="auto" w:fill="FFFFFF"/>
        </w:rPr>
        <w:tab/>
      </w:r>
      <w:r>
        <w:rPr>
          <w:rFonts w:ascii="Arial" w:hAnsi="Arial" w:cs="Arial"/>
          <w:color w:val="222222"/>
          <w:u w:val="single"/>
          <w:shd w:val="clear" w:color="auto" w:fill="FFFFFF"/>
        </w:rPr>
        <w:tab/>
      </w:r>
      <w:r>
        <w:rPr>
          <w:rFonts w:ascii="Arial" w:hAnsi="Arial" w:cs="Arial"/>
          <w:color w:val="222222"/>
          <w:u w:val="single"/>
          <w:shd w:val="clear" w:color="auto" w:fill="FFFFFF"/>
        </w:rPr>
        <w:tab/>
      </w:r>
      <w:r>
        <w:rPr>
          <w:rFonts w:ascii="Arial" w:hAnsi="Arial" w:cs="Arial"/>
          <w:color w:val="222222"/>
          <w:u w:val="single"/>
          <w:shd w:val="clear" w:color="auto" w:fill="FFFFFF"/>
        </w:rPr>
        <w:tab/>
      </w:r>
      <w:r>
        <w:rPr>
          <w:rFonts w:ascii="Arial" w:hAnsi="Arial" w:cs="Arial"/>
          <w:color w:val="222222"/>
          <w:u w:val="single"/>
          <w:shd w:val="clear" w:color="auto" w:fill="FFFFFF"/>
        </w:rPr>
        <w:tab/>
      </w:r>
    </w:p>
    <w:p w14:paraId="4BB00518" w14:textId="06E16476" w:rsidR="00122B3A" w:rsidRDefault="006F02BA" w:rsidP="006F02BA">
      <w:pPr>
        <w:spacing w:after="0" w:line="240" w:lineRule="auto"/>
        <w:ind w:firstLine="720"/>
        <w:rPr>
          <w:sz w:val="16"/>
          <w:szCs w:val="16"/>
        </w:rPr>
      </w:pPr>
      <w:r>
        <w:rPr>
          <w:rFonts w:ascii="Arial" w:hAnsi="Arial" w:cs="Arial"/>
          <w:color w:val="222222"/>
          <w:shd w:val="clear" w:color="auto" w:fill="FFFFFF"/>
        </w:rPr>
        <w:t>Name</w:t>
      </w:r>
      <w:r w:rsidR="00122B3A">
        <w:rPr>
          <w:rFonts w:ascii="Arial" w:hAnsi="Arial" w:cs="Arial"/>
          <w:color w:val="222222"/>
          <w:shd w:val="clear" w:color="auto" w:fill="FFFFFF"/>
        </w:rPr>
        <w:t xml:space="preserve"> | </w:t>
      </w:r>
      <w:r>
        <w:rPr>
          <w:rFonts w:ascii="Arial" w:hAnsi="Arial" w:cs="Arial"/>
          <w:color w:val="222222"/>
          <w:shd w:val="clear" w:color="auto" w:fill="FFFFFF"/>
        </w:rPr>
        <w:t>Designation</w:t>
      </w:r>
    </w:p>
    <w:p w14:paraId="5A52A793" w14:textId="2F859031" w:rsidR="00A87EED" w:rsidRDefault="00A87EED">
      <w:pPr>
        <w:spacing w:line="240" w:lineRule="auto"/>
        <w:rPr>
          <w:rFonts w:ascii="Arial" w:eastAsia="Arial" w:hAnsi="Arial" w:cs="Arial"/>
          <w:b/>
          <w:u w:val="single"/>
        </w:rPr>
      </w:pPr>
    </w:p>
    <w:p w14:paraId="2FF38D97" w14:textId="77777777" w:rsidR="00A87EED" w:rsidRDefault="00A87EED">
      <w:pPr>
        <w:tabs>
          <w:tab w:val="left" w:pos="5400"/>
        </w:tabs>
        <w:spacing w:line="240" w:lineRule="auto"/>
        <w:rPr>
          <w:rFonts w:ascii="Arial" w:eastAsia="Arial" w:hAnsi="Arial" w:cs="Arial"/>
          <w:b/>
          <w:u w:val="single"/>
        </w:rPr>
      </w:pPr>
      <w:bookmarkStart w:id="1" w:name="_gjdgxs" w:colFirst="0" w:colLast="0"/>
      <w:bookmarkEnd w:id="1"/>
    </w:p>
    <w:sectPr w:rsidR="00A87EED">
      <w:headerReference w:type="default" r:id="rId7"/>
      <w:footerReference w:type="default" r:id="rId8"/>
      <w:pgSz w:w="12240" w:h="15840"/>
      <w:pgMar w:top="720" w:right="1440" w:bottom="90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F062" w14:textId="77777777" w:rsidR="00080E52" w:rsidRDefault="00080E52">
      <w:pPr>
        <w:spacing w:after="0" w:line="240" w:lineRule="auto"/>
      </w:pPr>
      <w:r>
        <w:separator/>
      </w:r>
    </w:p>
  </w:endnote>
  <w:endnote w:type="continuationSeparator" w:id="0">
    <w:p w14:paraId="39870240" w14:textId="77777777" w:rsidR="00080E52" w:rsidRDefault="0008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6E03" w14:textId="77777777" w:rsidR="00A87EED" w:rsidRDefault="00A20FC6">
    <w:pP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Document Revision: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9873" w14:textId="77777777" w:rsidR="00080E52" w:rsidRDefault="00080E52">
      <w:pPr>
        <w:spacing w:after="0" w:line="240" w:lineRule="auto"/>
      </w:pPr>
      <w:r>
        <w:separator/>
      </w:r>
    </w:p>
  </w:footnote>
  <w:footnote w:type="continuationSeparator" w:id="0">
    <w:p w14:paraId="4A4574DA" w14:textId="77777777" w:rsidR="00080E52" w:rsidRDefault="0008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0A07" w14:textId="130AD6D3" w:rsidR="00A87EED" w:rsidRPr="009417EF" w:rsidRDefault="009417EF" w:rsidP="00941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2"/>
        <w:szCs w:val="32"/>
      </w:rPr>
    </w:pPr>
    <w:r w:rsidRPr="009417EF">
      <w:rPr>
        <w:color w:val="000000"/>
        <w:sz w:val="32"/>
        <w:szCs w:val="32"/>
      </w:rPr>
      <w:t>Company Letterhead or Logo</w:t>
    </w:r>
  </w:p>
  <w:p w14:paraId="1AA45848" w14:textId="59A51C41" w:rsidR="00A87EED" w:rsidRDefault="007B2035" w:rsidP="007B2035">
    <w:pPr>
      <w:tabs>
        <w:tab w:val="left" w:pos="54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ED"/>
    <w:rsid w:val="0004322A"/>
    <w:rsid w:val="00080E52"/>
    <w:rsid w:val="00122B3A"/>
    <w:rsid w:val="00545223"/>
    <w:rsid w:val="005608B3"/>
    <w:rsid w:val="00642121"/>
    <w:rsid w:val="00644BA8"/>
    <w:rsid w:val="006F02BA"/>
    <w:rsid w:val="007B2035"/>
    <w:rsid w:val="008D340C"/>
    <w:rsid w:val="008F4DDC"/>
    <w:rsid w:val="009417EF"/>
    <w:rsid w:val="00A0118E"/>
    <w:rsid w:val="00A20FC6"/>
    <w:rsid w:val="00A87EED"/>
    <w:rsid w:val="00D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EFDA"/>
  <w15:docId w15:val="{8F6F88EB-2B31-453D-866B-5E2F507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35"/>
  </w:style>
  <w:style w:type="paragraph" w:styleId="Footer">
    <w:name w:val="footer"/>
    <w:basedOn w:val="Normal"/>
    <w:link w:val="FooterChar"/>
    <w:uiPriority w:val="99"/>
    <w:unhideWhenUsed/>
    <w:rsid w:val="007B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entcompliance.com/wp-content/uploads/Guide-RoHS-Exemption-List-PC-GD-17072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Rivera</dc:creator>
  <cp:lastModifiedBy>Olukayode Sadiq</cp:lastModifiedBy>
  <cp:revision>7</cp:revision>
  <dcterms:created xsi:type="dcterms:W3CDTF">2019-08-07T19:55:00Z</dcterms:created>
  <dcterms:modified xsi:type="dcterms:W3CDTF">2020-09-29T18:30:00Z</dcterms:modified>
</cp:coreProperties>
</file>